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3195" w14:textId="77777777" w:rsidR="008C4DF3" w:rsidRPr="00DC4050" w:rsidRDefault="001A544E" w:rsidP="008C4DF3">
      <w:pPr>
        <w:jc w:val="center"/>
        <w:rPr>
          <w:rFonts w:cstheme="minorHAnsi"/>
        </w:rPr>
      </w:pPr>
      <w:r w:rsidRPr="00DC4050">
        <w:rPr>
          <w:rFonts w:cstheme="minorHAnsi"/>
          <w:noProof/>
          <w:sz w:val="20"/>
        </w:rPr>
        <w:drawing>
          <wp:inline distT="0" distB="0" distL="0" distR="0" wp14:anchorId="09AC8BCE" wp14:editId="3B7C0ADE">
            <wp:extent cx="2025336" cy="742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3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5DC4F" w14:textId="77777777" w:rsidR="008C4DF3" w:rsidRPr="00DC4050" w:rsidRDefault="008C4DF3" w:rsidP="008C4DF3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6101B723" w14:textId="003B364E" w:rsidR="008C4DF3" w:rsidRPr="00DC4050" w:rsidRDefault="00D43DA2" w:rsidP="007D0F47">
      <w:pPr>
        <w:pStyle w:val="BodyText"/>
        <w:spacing w:before="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Pr="00D43DA2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March</w:t>
      </w:r>
      <w:r w:rsidR="008C4DF3" w:rsidRPr="00DC4050">
        <w:rPr>
          <w:rFonts w:asciiTheme="minorHAnsi" w:hAnsiTheme="minorHAnsi" w:cstheme="minorHAnsi"/>
        </w:rPr>
        <w:t xml:space="preserve"> 2019</w:t>
      </w:r>
    </w:p>
    <w:p w14:paraId="19DB9DE6" w14:textId="77777777" w:rsidR="008C4DF3" w:rsidRPr="00DC4050" w:rsidRDefault="008C4DF3" w:rsidP="007D0F47">
      <w:pPr>
        <w:pStyle w:val="BodyText"/>
        <w:rPr>
          <w:rFonts w:asciiTheme="minorHAnsi" w:hAnsiTheme="minorHAnsi" w:cstheme="minorHAnsi"/>
          <w:sz w:val="24"/>
        </w:rPr>
      </w:pPr>
    </w:p>
    <w:p w14:paraId="0E125248" w14:textId="77777777" w:rsidR="008C4DF3" w:rsidRPr="00DC4050" w:rsidRDefault="008C4DF3" w:rsidP="007D0F47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3C223DDA" w14:textId="3E9C314B" w:rsidR="008C4DF3" w:rsidRPr="00DC4050" w:rsidRDefault="008C4DF3" w:rsidP="007D0F47">
      <w:pPr>
        <w:pStyle w:val="BodyText"/>
        <w:ind w:right="4064"/>
        <w:rPr>
          <w:rFonts w:asciiTheme="minorHAnsi" w:hAnsiTheme="minorHAnsi" w:cstheme="minorHAnsi"/>
        </w:rPr>
      </w:pPr>
      <w:r w:rsidRPr="00DC4050">
        <w:rPr>
          <w:rFonts w:asciiTheme="minorHAnsi" w:hAnsiTheme="minorHAnsi" w:cstheme="minorHAnsi"/>
        </w:rPr>
        <w:t xml:space="preserve">European Securities and Markets Authority </w:t>
      </w:r>
    </w:p>
    <w:p w14:paraId="6FEB495A" w14:textId="1820C495" w:rsidR="008C4DF3" w:rsidRPr="00DC4050" w:rsidRDefault="008C4DF3" w:rsidP="007D0F47">
      <w:pPr>
        <w:pStyle w:val="BodyText"/>
        <w:ind w:right="4064"/>
        <w:rPr>
          <w:rFonts w:asciiTheme="minorHAnsi" w:hAnsiTheme="minorHAnsi" w:cstheme="minorHAnsi"/>
        </w:rPr>
      </w:pPr>
      <w:r w:rsidRPr="00DC4050">
        <w:rPr>
          <w:rFonts w:asciiTheme="minorHAnsi" w:hAnsiTheme="minorHAnsi" w:cstheme="minorHAnsi"/>
        </w:rPr>
        <w:t xml:space="preserve">103 rue de </w:t>
      </w:r>
      <w:proofErr w:type="spellStart"/>
      <w:r w:rsidRPr="00DC4050">
        <w:rPr>
          <w:rFonts w:asciiTheme="minorHAnsi" w:hAnsiTheme="minorHAnsi" w:cstheme="minorHAnsi"/>
        </w:rPr>
        <w:t>Grenelle</w:t>
      </w:r>
      <w:proofErr w:type="spellEnd"/>
    </w:p>
    <w:p w14:paraId="3A6411BB" w14:textId="77777777" w:rsidR="00C82DF4" w:rsidRDefault="008C4DF3" w:rsidP="007D0F47">
      <w:pPr>
        <w:pStyle w:val="BodyText"/>
        <w:ind w:right="4064"/>
        <w:rPr>
          <w:rFonts w:asciiTheme="minorHAnsi" w:hAnsiTheme="minorHAnsi" w:cstheme="minorHAnsi"/>
        </w:rPr>
      </w:pPr>
      <w:r w:rsidRPr="00DC4050">
        <w:rPr>
          <w:rFonts w:asciiTheme="minorHAnsi" w:hAnsiTheme="minorHAnsi" w:cstheme="minorHAnsi"/>
        </w:rPr>
        <w:t xml:space="preserve">75345 Paris </w:t>
      </w:r>
    </w:p>
    <w:p w14:paraId="306A008D" w14:textId="19E67D5D" w:rsidR="008C4DF3" w:rsidRPr="00DC4050" w:rsidRDefault="008C4DF3" w:rsidP="007D0F47">
      <w:pPr>
        <w:pStyle w:val="BodyText"/>
        <w:ind w:right="4064"/>
        <w:rPr>
          <w:rFonts w:asciiTheme="minorHAnsi" w:hAnsiTheme="minorHAnsi" w:cstheme="minorHAnsi"/>
        </w:rPr>
      </w:pPr>
      <w:r w:rsidRPr="00DC4050">
        <w:rPr>
          <w:rFonts w:asciiTheme="minorHAnsi" w:hAnsiTheme="minorHAnsi" w:cstheme="minorHAnsi"/>
        </w:rPr>
        <w:t>France</w:t>
      </w:r>
    </w:p>
    <w:p w14:paraId="6DA3E8A0" w14:textId="2C090E93" w:rsidR="008C4DF3" w:rsidRDefault="008C4DF3" w:rsidP="008C4DF3">
      <w:pPr>
        <w:pStyle w:val="BodyText"/>
        <w:rPr>
          <w:rFonts w:asciiTheme="minorHAnsi" w:hAnsiTheme="minorHAnsi" w:cstheme="minorHAnsi"/>
        </w:rPr>
      </w:pPr>
    </w:p>
    <w:p w14:paraId="7280D67F" w14:textId="77777777" w:rsidR="00C82DF4" w:rsidRPr="00DC4050" w:rsidRDefault="00C82DF4" w:rsidP="008C4DF3">
      <w:pPr>
        <w:pStyle w:val="BodyText"/>
        <w:rPr>
          <w:rFonts w:asciiTheme="minorHAnsi" w:hAnsiTheme="minorHAnsi" w:cstheme="minorHAnsi"/>
        </w:rPr>
      </w:pPr>
    </w:p>
    <w:p w14:paraId="5519195D" w14:textId="3B395DA3" w:rsidR="008C4DF3" w:rsidRDefault="008C4DF3" w:rsidP="007D0F47">
      <w:pPr>
        <w:pStyle w:val="BodyText"/>
        <w:rPr>
          <w:rFonts w:asciiTheme="minorHAnsi" w:hAnsiTheme="minorHAnsi" w:cstheme="minorHAnsi"/>
          <w:b/>
        </w:rPr>
      </w:pPr>
    </w:p>
    <w:p w14:paraId="22CA1959" w14:textId="77777777" w:rsidR="007D0F47" w:rsidRPr="007D0F47" w:rsidRDefault="007D0F47" w:rsidP="007D0F47">
      <w:pPr>
        <w:pStyle w:val="BodyText"/>
        <w:rPr>
          <w:rFonts w:asciiTheme="minorHAnsi" w:hAnsiTheme="minorHAnsi" w:cstheme="minorHAnsi"/>
          <w:b/>
        </w:rPr>
      </w:pPr>
    </w:p>
    <w:p w14:paraId="19609109" w14:textId="0B10C649" w:rsidR="008C4DF3" w:rsidRPr="00C82DF4" w:rsidRDefault="00D43DA2" w:rsidP="008C4DF3">
      <w:pPr>
        <w:ind w:right="22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Consultation Paper – Guidelines on liquidity stress testing in UCITS and AIFs </w:t>
      </w:r>
      <w:r w:rsidR="008C4DF3" w:rsidRPr="00C82DF4">
        <w:rPr>
          <w:rFonts w:cstheme="minorHAnsi"/>
          <w:b/>
        </w:rPr>
        <w:t>(ESMA 34-</w:t>
      </w:r>
      <w:r>
        <w:rPr>
          <w:rFonts w:cstheme="minorHAnsi"/>
          <w:b/>
        </w:rPr>
        <w:t>3</w:t>
      </w:r>
      <w:r w:rsidR="008C4DF3" w:rsidRPr="00C82DF4">
        <w:rPr>
          <w:rFonts w:cstheme="minorHAnsi"/>
          <w:b/>
        </w:rPr>
        <w:t>9-</w:t>
      </w:r>
      <w:r>
        <w:rPr>
          <w:rFonts w:cstheme="minorHAnsi"/>
          <w:b/>
        </w:rPr>
        <w:t>78</w:t>
      </w:r>
      <w:r w:rsidR="008C4DF3" w:rsidRPr="00C82DF4">
        <w:rPr>
          <w:rFonts w:cstheme="minorHAnsi"/>
          <w:b/>
        </w:rPr>
        <w:t xml:space="preserve">4, </w:t>
      </w:r>
      <w:r>
        <w:rPr>
          <w:rFonts w:cstheme="minorHAnsi"/>
          <w:b/>
        </w:rPr>
        <w:t>5 February 2019</w:t>
      </w:r>
      <w:r w:rsidR="008C4DF3" w:rsidRPr="00C82DF4">
        <w:rPr>
          <w:rFonts w:cstheme="minorHAnsi"/>
          <w:b/>
        </w:rPr>
        <w:t>)</w:t>
      </w:r>
    </w:p>
    <w:p w14:paraId="28A8C1FD" w14:textId="77777777" w:rsidR="008C4DF3" w:rsidRPr="007D0F47" w:rsidRDefault="008C4DF3" w:rsidP="008C4DF3">
      <w:pPr>
        <w:pStyle w:val="BodyText"/>
        <w:rPr>
          <w:rFonts w:asciiTheme="minorHAnsi" w:hAnsiTheme="minorHAnsi" w:cstheme="minorHAnsi"/>
          <w:b/>
        </w:rPr>
      </w:pPr>
    </w:p>
    <w:p w14:paraId="0728CEB3" w14:textId="6A4A18AD" w:rsidR="008C4DF3" w:rsidRPr="00D43DA2" w:rsidRDefault="008C4DF3" w:rsidP="007D0F47">
      <w:pPr>
        <w:spacing w:line="240" w:lineRule="auto"/>
        <w:ind w:right="221"/>
        <w:jc w:val="both"/>
        <w:rPr>
          <w:rFonts w:cstheme="minorHAnsi"/>
        </w:rPr>
      </w:pPr>
      <w:r w:rsidRPr="00D43DA2">
        <w:rPr>
          <w:rFonts w:cstheme="minorHAnsi"/>
        </w:rPr>
        <w:t>The</w:t>
      </w:r>
      <w:r w:rsidRPr="00D43DA2">
        <w:rPr>
          <w:rFonts w:cstheme="minorHAnsi"/>
          <w:spacing w:val="-16"/>
        </w:rPr>
        <w:t xml:space="preserve"> </w:t>
      </w:r>
      <w:r w:rsidRPr="00D43DA2">
        <w:rPr>
          <w:rFonts w:cstheme="minorHAnsi"/>
        </w:rPr>
        <w:t>Institutional</w:t>
      </w:r>
      <w:r w:rsidRPr="00D43DA2">
        <w:rPr>
          <w:rFonts w:cstheme="minorHAnsi"/>
          <w:spacing w:val="-14"/>
        </w:rPr>
        <w:t xml:space="preserve"> </w:t>
      </w:r>
      <w:r w:rsidRPr="00D43DA2">
        <w:rPr>
          <w:rFonts w:cstheme="minorHAnsi"/>
        </w:rPr>
        <w:t>Money</w:t>
      </w:r>
      <w:r w:rsidRPr="00D43DA2">
        <w:rPr>
          <w:rFonts w:cstheme="minorHAnsi"/>
          <w:spacing w:val="-14"/>
        </w:rPr>
        <w:t xml:space="preserve"> </w:t>
      </w:r>
      <w:r w:rsidRPr="00D43DA2">
        <w:rPr>
          <w:rFonts w:cstheme="minorHAnsi"/>
        </w:rPr>
        <w:t>Market</w:t>
      </w:r>
      <w:r w:rsidRPr="00D43DA2">
        <w:rPr>
          <w:rFonts w:cstheme="minorHAnsi"/>
          <w:spacing w:val="-14"/>
        </w:rPr>
        <w:t xml:space="preserve"> </w:t>
      </w:r>
      <w:r w:rsidRPr="00D43DA2">
        <w:rPr>
          <w:rFonts w:cstheme="minorHAnsi"/>
        </w:rPr>
        <w:t>Funds</w:t>
      </w:r>
      <w:r w:rsidRPr="00D43DA2">
        <w:rPr>
          <w:rFonts w:cstheme="minorHAnsi"/>
          <w:spacing w:val="-15"/>
        </w:rPr>
        <w:t xml:space="preserve"> </w:t>
      </w:r>
      <w:r w:rsidRPr="00D43DA2">
        <w:rPr>
          <w:rFonts w:cstheme="minorHAnsi"/>
        </w:rPr>
        <w:t>Association</w:t>
      </w:r>
      <w:r w:rsidRPr="00D43DA2">
        <w:rPr>
          <w:rFonts w:cstheme="minorHAnsi"/>
          <w:spacing w:val="-15"/>
        </w:rPr>
        <w:t xml:space="preserve"> </w:t>
      </w:r>
      <w:r w:rsidRPr="00D43DA2">
        <w:rPr>
          <w:rFonts w:cstheme="minorHAnsi"/>
        </w:rPr>
        <w:t>Ltd</w:t>
      </w:r>
      <w:r w:rsidRPr="00D43DA2">
        <w:rPr>
          <w:rFonts w:cstheme="minorHAnsi"/>
          <w:spacing w:val="-15"/>
        </w:rPr>
        <w:t xml:space="preserve"> </w:t>
      </w:r>
      <w:r w:rsidRPr="00D43DA2">
        <w:rPr>
          <w:rFonts w:cstheme="minorHAnsi"/>
        </w:rPr>
        <w:t>(“IMMFA”)</w:t>
      </w:r>
      <w:r w:rsidRPr="00D43DA2">
        <w:rPr>
          <w:rFonts w:cstheme="minorHAnsi"/>
          <w:spacing w:val="-13"/>
        </w:rPr>
        <w:t xml:space="preserve"> </w:t>
      </w:r>
      <w:r w:rsidRPr="00D43DA2">
        <w:rPr>
          <w:rFonts w:cstheme="minorHAnsi"/>
        </w:rPr>
        <w:t>is</w:t>
      </w:r>
      <w:r w:rsidRPr="00D43DA2">
        <w:rPr>
          <w:rFonts w:cstheme="minorHAnsi"/>
          <w:spacing w:val="-15"/>
        </w:rPr>
        <w:t xml:space="preserve"> </w:t>
      </w:r>
      <w:r w:rsidRPr="00D43DA2">
        <w:rPr>
          <w:rFonts w:cstheme="minorHAnsi"/>
        </w:rPr>
        <w:t>pleased</w:t>
      </w:r>
      <w:r w:rsidRPr="00D43DA2">
        <w:rPr>
          <w:rFonts w:cstheme="minorHAnsi"/>
          <w:spacing w:val="-15"/>
        </w:rPr>
        <w:t xml:space="preserve"> </w:t>
      </w:r>
      <w:r w:rsidRPr="00D43DA2">
        <w:rPr>
          <w:rFonts w:cstheme="minorHAnsi"/>
        </w:rPr>
        <w:t>to</w:t>
      </w:r>
      <w:r w:rsidRPr="00D43DA2">
        <w:rPr>
          <w:rFonts w:cstheme="minorHAnsi"/>
          <w:spacing w:val="-14"/>
        </w:rPr>
        <w:t xml:space="preserve"> </w:t>
      </w:r>
      <w:r w:rsidRPr="00D43DA2">
        <w:rPr>
          <w:rFonts w:cstheme="minorHAnsi"/>
        </w:rPr>
        <w:t>submit</w:t>
      </w:r>
      <w:r w:rsidRPr="00D43DA2">
        <w:rPr>
          <w:rFonts w:cstheme="minorHAnsi"/>
          <w:spacing w:val="-16"/>
        </w:rPr>
        <w:t xml:space="preserve"> </w:t>
      </w:r>
      <w:r w:rsidRPr="00D43DA2">
        <w:rPr>
          <w:rFonts w:cstheme="minorHAnsi"/>
        </w:rPr>
        <w:t>its</w:t>
      </w:r>
      <w:r w:rsidRPr="00D43DA2">
        <w:rPr>
          <w:rFonts w:cstheme="minorHAnsi"/>
          <w:spacing w:val="-15"/>
        </w:rPr>
        <w:t xml:space="preserve"> </w:t>
      </w:r>
      <w:r w:rsidRPr="00D43DA2">
        <w:rPr>
          <w:rFonts w:cstheme="minorHAnsi"/>
        </w:rPr>
        <w:t>comments on</w:t>
      </w:r>
      <w:r w:rsidRPr="00D43DA2">
        <w:rPr>
          <w:rFonts w:cstheme="minorHAnsi"/>
          <w:spacing w:val="-11"/>
        </w:rPr>
        <w:t xml:space="preserve"> </w:t>
      </w:r>
      <w:r w:rsidRPr="00D43DA2">
        <w:rPr>
          <w:rFonts w:cstheme="minorHAnsi"/>
        </w:rPr>
        <w:t>the</w:t>
      </w:r>
      <w:r w:rsidRPr="00D43DA2">
        <w:rPr>
          <w:rFonts w:cstheme="minorHAnsi"/>
          <w:spacing w:val="-11"/>
        </w:rPr>
        <w:t xml:space="preserve"> </w:t>
      </w:r>
      <w:r w:rsidRPr="00D43DA2">
        <w:rPr>
          <w:rFonts w:cstheme="minorHAnsi"/>
        </w:rPr>
        <w:t>ESMA</w:t>
      </w:r>
      <w:r w:rsidRPr="00D43DA2">
        <w:rPr>
          <w:rFonts w:cstheme="minorHAnsi"/>
          <w:spacing w:val="-11"/>
        </w:rPr>
        <w:t xml:space="preserve"> </w:t>
      </w:r>
      <w:r w:rsidRPr="00D43DA2">
        <w:rPr>
          <w:rFonts w:cstheme="minorHAnsi"/>
        </w:rPr>
        <w:t>Consultation</w:t>
      </w:r>
      <w:r w:rsidRPr="00D43DA2">
        <w:rPr>
          <w:rFonts w:cstheme="minorHAnsi"/>
          <w:spacing w:val="-11"/>
        </w:rPr>
        <w:t xml:space="preserve"> </w:t>
      </w:r>
      <w:r w:rsidRPr="00D43DA2">
        <w:rPr>
          <w:rFonts w:cstheme="minorHAnsi"/>
        </w:rPr>
        <w:t>Paper</w:t>
      </w:r>
      <w:r w:rsidRPr="00D43DA2">
        <w:rPr>
          <w:rFonts w:cstheme="minorHAnsi"/>
          <w:spacing w:val="-10"/>
        </w:rPr>
        <w:t xml:space="preserve"> </w:t>
      </w:r>
      <w:r w:rsidRPr="00D43DA2">
        <w:rPr>
          <w:rFonts w:cstheme="minorHAnsi"/>
        </w:rPr>
        <w:t>on</w:t>
      </w:r>
      <w:r w:rsidRPr="00D43DA2">
        <w:rPr>
          <w:rFonts w:cstheme="minorHAnsi"/>
          <w:spacing w:val="-11"/>
        </w:rPr>
        <w:t xml:space="preserve"> </w:t>
      </w:r>
      <w:r w:rsidR="00D43DA2" w:rsidRPr="00D43DA2">
        <w:rPr>
          <w:rFonts w:cstheme="minorHAnsi"/>
        </w:rPr>
        <w:t>Guidelines on liquidity stress testing in UCITS and AIFs (ESMA 34-39-784, 5 February 2019)</w:t>
      </w:r>
      <w:r w:rsidR="00E468E1">
        <w:rPr>
          <w:rFonts w:cstheme="minorHAnsi"/>
        </w:rPr>
        <w:t>.</w:t>
      </w:r>
    </w:p>
    <w:p w14:paraId="69CD8AB5" w14:textId="3728177F" w:rsidR="008C4DF3" w:rsidRPr="00DC4050" w:rsidRDefault="008C4DF3" w:rsidP="007D0F47">
      <w:pPr>
        <w:spacing w:line="240" w:lineRule="auto"/>
        <w:ind w:right="221"/>
        <w:jc w:val="both"/>
        <w:rPr>
          <w:rFonts w:cstheme="minorHAnsi"/>
        </w:rPr>
      </w:pPr>
      <w:r w:rsidRPr="00DC4050">
        <w:rPr>
          <w:rFonts w:cstheme="minorHAnsi"/>
        </w:rPr>
        <w:t>IMMFA represents the European institutional money market fund industry that manages and promotes investment funds regulated by the MMF Regulation. All IMMFA members’ funds are UCITS</w:t>
      </w:r>
      <w:r w:rsidRPr="007D0F47">
        <w:rPr>
          <w:rFonts w:cstheme="minorHAnsi"/>
        </w:rPr>
        <w:t xml:space="preserve"> </w:t>
      </w:r>
      <w:r w:rsidRPr="00DC4050">
        <w:rPr>
          <w:rFonts w:cstheme="minorHAnsi"/>
        </w:rPr>
        <w:t>and</w:t>
      </w:r>
      <w:r w:rsidRPr="007D0F47">
        <w:rPr>
          <w:rFonts w:cstheme="minorHAnsi"/>
        </w:rPr>
        <w:t xml:space="preserve"> </w:t>
      </w:r>
      <w:r w:rsidRPr="00DC4050">
        <w:rPr>
          <w:rFonts w:cstheme="minorHAnsi"/>
        </w:rPr>
        <w:t>predominantly</w:t>
      </w:r>
      <w:r w:rsidRPr="007D0F47">
        <w:rPr>
          <w:rFonts w:cstheme="minorHAnsi"/>
        </w:rPr>
        <w:t xml:space="preserve"> </w:t>
      </w:r>
      <w:r w:rsidRPr="00DC4050">
        <w:rPr>
          <w:rFonts w:cstheme="minorHAnsi"/>
        </w:rPr>
        <w:t>Short‐term</w:t>
      </w:r>
      <w:r w:rsidRPr="007D0F47">
        <w:rPr>
          <w:rFonts w:cstheme="minorHAnsi"/>
        </w:rPr>
        <w:t xml:space="preserve"> </w:t>
      </w:r>
      <w:r w:rsidRPr="00DC4050">
        <w:rPr>
          <w:rFonts w:cstheme="minorHAnsi"/>
        </w:rPr>
        <w:t>money</w:t>
      </w:r>
      <w:r w:rsidRPr="007D0F47">
        <w:rPr>
          <w:rFonts w:cstheme="minorHAnsi"/>
        </w:rPr>
        <w:t xml:space="preserve"> </w:t>
      </w:r>
      <w:r w:rsidRPr="00DC4050">
        <w:rPr>
          <w:rFonts w:cstheme="minorHAnsi"/>
        </w:rPr>
        <w:t>market</w:t>
      </w:r>
      <w:r w:rsidRPr="007D0F47">
        <w:rPr>
          <w:rFonts w:cstheme="minorHAnsi"/>
        </w:rPr>
        <w:t xml:space="preserve"> </w:t>
      </w:r>
      <w:r w:rsidRPr="00DC4050">
        <w:rPr>
          <w:rFonts w:cstheme="minorHAnsi"/>
        </w:rPr>
        <w:t xml:space="preserve">funds. </w:t>
      </w:r>
      <w:r w:rsidR="007D0F47">
        <w:rPr>
          <w:rFonts w:cstheme="minorHAnsi"/>
        </w:rPr>
        <w:t xml:space="preserve"> </w:t>
      </w:r>
      <w:r w:rsidRPr="00DC4050">
        <w:rPr>
          <w:rFonts w:cstheme="minorHAnsi"/>
        </w:rPr>
        <w:t>All but one is domiciled in Luxembourg or the Republic of Ireland (there is one UK</w:t>
      </w:r>
      <w:r w:rsidRPr="007D0F47">
        <w:rPr>
          <w:rFonts w:cstheme="minorHAnsi"/>
        </w:rPr>
        <w:t xml:space="preserve"> </w:t>
      </w:r>
      <w:r w:rsidRPr="00DC4050">
        <w:rPr>
          <w:rFonts w:cstheme="minorHAnsi"/>
        </w:rPr>
        <w:t>fund).</w:t>
      </w:r>
    </w:p>
    <w:p w14:paraId="4CFB4FC7" w14:textId="60305B62" w:rsidR="00E468E1" w:rsidRDefault="008C4DF3" w:rsidP="007D0F47">
      <w:pPr>
        <w:spacing w:line="240" w:lineRule="auto"/>
        <w:ind w:right="221"/>
        <w:jc w:val="both"/>
        <w:rPr>
          <w:rFonts w:cstheme="minorHAnsi"/>
        </w:rPr>
      </w:pPr>
      <w:r w:rsidRPr="00DC4050">
        <w:rPr>
          <w:rFonts w:cstheme="minorHAnsi"/>
        </w:rPr>
        <w:t>Funds under management for IMMFA members’ money market funds currently total €</w:t>
      </w:r>
      <w:r w:rsidR="00D43DA2">
        <w:rPr>
          <w:rFonts w:cstheme="minorHAnsi"/>
        </w:rPr>
        <w:t>650.5</w:t>
      </w:r>
      <w:r w:rsidRPr="00DC4050">
        <w:rPr>
          <w:rFonts w:cstheme="minorHAnsi"/>
        </w:rPr>
        <w:t xml:space="preserve"> billion. A list of members may be found at </w:t>
      </w:r>
      <w:hyperlink r:id="rId9">
        <w:r w:rsidRPr="007D0F47">
          <w:rPr>
            <w:rFonts w:cstheme="minorHAnsi"/>
          </w:rPr>
          <w:t>www.immfa.org</w:t>
        </w:r>
      </w:hyperlink>
      <w:bookmarkStart w:id="0" w:name="_GoBack"/>
      <w:bookmarkEnd w:id="0"/>
    </w:p>
    <w:p w14:paraId="2E48C4C2" w14:textId="18435615" w:rsidR="00F24DC0" w:rsidRDefault="00F24DC0" w:rsidP="007D0F47">
      <w:pPr>
        <w:spacing w:line="240" w:lineRule="auto"/>
        <w:ind w:right="221"/>
        <w:jc w:val="both"/>
        <w:rPr>
          <w:rFonts w:cstheme="minorHAnsi"/>
        </w:rPr>
      </w:pPr>
      <w:r>
        <w:rPr>
          <w:rFonts w:cstheme="minorHAnsi"/>
        </w:rPr>
        <w:t>As our interest is in</w:t>
      </w:r>
      <w:r w:rsidRPr="00F24DC0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F24DC0">
        <w:rPr>
          <w:rFonts w:cstheme="minorHAnsi"/>
        </w:rPr>
        <w:t xml:space="preserve">he extremely clearly delineated subset of UCITS funds subject to MMFR </w:t>
      </w:r>
      <w:r>
        <w:rPr>
          <w:rFonts w:cstheme="minorHAnsi"/>
        </w:rPr>
        <w:t>our response is to ensure that those funds are removed from the scope of the general UCITS guidelines</w:t>
      </w:r>
      <w:r w:rsidR="00E468E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C75BA42" w14:textId="77777777" w:rsidR="00F24DC0" w:rsidRPr="00DC4050" w:rsidRDefault="00F24DC0" w:rsidP="007D0F47">
      <w:pPr>
        <w:spacing w:line="240" w:lineRule="auto"/>
        <w:ind w:right="221"/>
        <w:jc w:val="both"/>
        <w:rPr>
          <w:rFonts w:cstheme="minorHAnsi"/>
        </w:rPr>
      </w:pPr>
    </w:p>
    <w:p w14:paraId="138D969E" w14:textId="39D7DA87" w:rsidR="005C6759" w:rsidRPr="00F24DC0" w:rsidRDefault="00F24DC0" w:rsidP="00F24DC0">
      <w:pPr>
        <w:ind w:right="221"/>
        <w:jc w:val="both"/>
        <w:rPr>
          <w:rFonts w:cstheme="minorHAnsi"/>
          <w:b/>
        </w:rPr>
      </w:pPr>
      <w:r>
        <w:rPr>
          <w:rFonts w:cstheme="minorHAnsi"/>
          <w:b/>
        </w:rPr>
        <w:t>F</w:t>
      </w:r>
      <w:r w:rsidRPr="00F24DC0">
        <w:rPr>
          <w:rFonts w:cstheme="minorHAnsi"/>
          <w:b/>
        </w:rPr>
        <w:t>unds subject to MMFR should be out of scope</w:t>
      </w:r>
    </w:p>
    <w:p w14:paraId="0C7D2E89" w14:textId="77777777" w:rsidR="00F24DC0" w:rsidRPr="00F24DC0" w:rsidRDefault="00F24DC0" w:rsidP="00F24DC0">
      <w:pPr>
        <w:spacing w:line="240" w:lineRule="auto"/>
        <w:ind w:right="221"/>
        <w:jc w:val="both"/>
        <w:rPr>
          <w:rFonts w:cstheme="minorHAnsi"/>
        </w:rPr>
      </w:pPr>
      <w:r w:rsidRPr="00F24DC0">
        <w:rPr>
          <w:rFonts w:cstheme="minorHAnsi"/>
        </w:rPr>
        <w:t xml:space="preserve">The consultation proposes principles-based guidelines and provides explanation about how they should be implemented by UCITS &amp; AIFs.  </w:t>
      </w:r>
    </w:p>
    <w:p w14:paraId="5E2D9CA8" w14:textId="27683699" w:rsidR="008103AD" w:rsidRPr="00F24DC0" w:rsidRDefault="001A42BB" w:rsidP="008636FC">
      <w:pPr>
        <w:jc w:val="both"/>
        <w:rPr>
          <w:rFonts w:cstheme="minorHAnsi"/>
        </w:rPr>
      </w:pPr>
      <w:r w:rsidRPr="00F24DC0">
        <w:rPr>
          <w:rFonts w:cstheme="minorHAnsi"/>
        </w:rPr>
        <w:t xml:space="preserve">MMFR </w:t>
      </w:r>
      <w:r w:rsidR="004754AF">
        <w:rPr>
          <w:rFonts w:cstheme="minorHAnsi"/>
        </w:rPr>
        <w:t xml:space="preserve">already </w:t>
      </w:r>
      <w:r w:rsidRPr="00F24DC0">
        <w:rPr>
          <w:rFonts w:cstheme="minorHAnsi"/>
        </w:rPr>
        <w:t xml:space="preserve">requires them to undertake </w:t>
      </w:r>
      <w:r w:rsidR="008103AD" w:rsidRPr="00F24DC0">
        <w:rPr>
          <w:rFonts w:cstheme="minorHAnsi"/>
        </w:rPr>
        <w:t xml:space="preserve">comprehensive </w:t>
      </w:r>
      <w:r w:rsidRPr="00F24DC0">
        <w:rPr>
          <w:rFonts w:cstheme="minorHAnsi"/>
        </w:rPr>
        <w:t xml:space="preserve">stress testing procedures that encompass but are by no means limited to liquidity stress testing.  </w:t>
      </w:r>
      <w:r w:rsidR="00F24DC0">
        <w:rPr>
          <w:rFonts w:cstheme="minorHAnsi"/>
        </w:rPr>
        <w:t xml:space="preserve">We await the outcome of an ESMA consultation on the </w:t>
      </w:r>
      <w:r w:rsidRPr="00F24DC0">
        <w:rPr>
          <w:rFonts w:cstheme="minorHAnsi"/>
        </w:rPr>
        <w:t xml:space="preserve">guidelines </w:t>
      </w:r>
      <w:r w:rsidR="008103AD" w:rsidRPr="00F24DC0">
        <w:rPr>
          <w:rFonts w:cstheme="minorHAnsi"/>
        </w:rPr>
        <w:t xml:space="preserve">that define the requirements, but it appears that these will be </w:t>
      </w:r>
      <w:r w:rsidR="00F24DC0">
        <w:rPr>
          <w:rFonts w:cstheme="minorHAnsi"/>
        </w:rPr>
        <w:t>prescriptive</w:t>
      </w:r>
      <w:r w:rsidR="008103AD" w:rsidRPr="00F24DC0">
        <w:rPr>
          <w:rFonts w:cstheme="minorHAnsi"/>
        </w:rPr>
        <w:t>, rather than being principles based.  The</w:t>
      </w:r>
      <w:r w:rsidR="004754AF">
        <w:rPr>
          <w:rFonts w:cstheme="minorHAnsi"/>
        </w:rPr>
        <w:t xml:space="preserve"> current</w:t>
      </w:r>
      <w:r w:rsidR="008103AD" w:rsidRPr="00F24DC0">
        <w:rPr>
          <w:rFonts w:cstheme="minorHAnsi"/>
        </w:rPr>
        <w:t xml:space="preserve"> consultation paper allows for the specific requirements of MMFR to override the </w:t>
      </w:r>
      <w:r w:rsidR="00F24DC0">
        <w:rPr>
          <w:rFonts w:cstheme="minorHAnsi"/>
        </w:rPr>
        <w:t xml:space="preserve">general </w:t>
      </w:r>
      <w:r w:rsidR="008103AD" w:rsidRPr="00F24DC0">
        <w:rPr>
          <w:rFonts w:cstheme="minorHAnsi"/>
        </w:rPr>
        <w:t>UCITS guidelines</w:t>
      </w:r>
      <w:r w:rsidR="004754AF">
        <w:rPr>
          <w:rFonts w:cstheme="minorHAnsi"/>
        </w:rPr>
        <w:t>,</w:t>
      </w:r>
      <w:r w:rsidR="008103AD" w:rsidRPr="00F24DC0">
        <w:rPr>
          <w:rFonts w:cstheme="minorHAnsi"/>
        </w:rPr>
        <w:t xml:space="preserve"> however we feel very strongly that funds which are subject to MMFR should </w:t>
      </w:r>
      <w:r w:rsidR="008636FC">
        <w:rPr>
          <w:rFonts w:cstheme="minorHAnsi"/>
        </w:rPr>
        <w:t>not also have the UCITS guidelines applied in addition,</w:t>
      </w:r>
      <w:r w:rsidR="008103AD" w:rsidRPr="00F24DC0">
        <w:rPr>
          <w:rFonts w:cstheme="minorHAnsi"/>
        </w:rPr>
        <w:t xml:space="preserve"> to avoid situations arising where the two sets of requirements develop differently and/or come to conflict with one another</w:t>
      </w:r>
      <w:r w:rsidR="00F24DC0" w:rsidRPr="00F24DC0">
        <w:rPr>
          <w:rFonts w:cstheme="minorHAnsi"/>
        </w:rPr>
        <w:t>.</w:t>
      </w:r>
    </w:p>
    <w:p w14:paraId="665EB8B6" w14:textId="77777777" w:rsidR="00AC10F2" w:rsidRPr="00DC4050" w:rsidRDefault="00AC10F2" w:rsidP="00AC10F2">
      <w:pPr>
        <w:pStyle w:val="ListParagraph"/>
        <w:widowControl w:val="0"/>
        <w:tabs>
          <w:tab w:val="left" w:pos="949"/>
        </w:tabs>
        <w:autoSpaceDE w:val="0"/>
        <w:autoSpaceDN w:val="0"/>
        <w:spacing w:before="120" w:after="0" w:line="240" w:lineRule="auto"/>
        <w:ind w:left="948" w:right="222"/>
        <w:contextualSpacing w:val="0"/>
        <w:jc w:val="both"/>
        <w:rPr>
          <w:rFonts w:cstheme="minorHAnsi"/>
        </w:rPr>
      </w:pPr>
    </w:p>
    <w:p w14:paraId="471D7389" w14:textId="5E46D09E" w:rsidR="00FB2D4D" w:rsidRPr="00DC4050" w:rsidRDefault="00FB2D4D" w:rsidP="00FB2D4D">
      <w:pPr>
        <w:rPr>
          <w:rFonts w:cstheme="minorHAnsi"/>
        </w:rPr>
      </w:pPr>
    </w:p>
    <w:sectPr w:rsidR="00FB2D4D" w:rsidRPr="00DC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9727C"/>
    <w:multiLevelType w:val="hybridMultilevel"/>
    <w:tmpl w:val="A59E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51FCB"/>
    <w:multiLevelType w:val="hybridMultilevel"/>
    <w:tmpl w:val="A77E2664"/>
    <w:lvl w:ilvl="0" w:tplc="27DEE8AA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A4C8EB8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3CC241A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5F7A6950"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9EB2BB1A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613CCE96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D24065FC"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0532A67C"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592FFD4"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2" w15:restartNumberingAfterBreak="0">
    <w:nsid w:val="7E7242B7"/>
    <w:multiLevelType w:val="hybridMultilevel"/>
    <w:tmpl w:val="55A6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D"/>
    <w:rsid w:val="00071811"/>
    <w:rsid w:val="00093261"/>
    <w:rsid w:val="000D6F9B"/>
    <w:rsid w:val="001A42BB"/>
    <w:rsid w:val="001A544E"/>
    <w:rsid w:val="00316AB7"/>
    <w:rsid w:val="0034284F"/>
    <w:rsid w:val="00377A8B"/>
    <w:rsid w:val="003E21A2"/>
    <w:rsid w:val="00472502"/>
    <w:rsid w:val="004754AF"/>
    <w:rsid w:val="005C6759"/>
    <w:rsid w:val="006705CE"/>
    <w:rsid w:val="00745AC7"/>
    <w:rsid w:val="007D0F47"/>
    <w:rsid w:val="007E22B1"/>
    <w:rsid w:val="008103AD"/>
    <w:rsid w:val="00811800"/>
    <w:rsid w:val="008636FC"/>
    <w:rsid w:val="008A11C0"/>
    <w:rsid w:val="008C4DF3"/>
    <w:rsid w:val="009009A2"/>
    <w:rsid w:val="00AC10F2"/>
    <w:rsid w:val="00B051A3"/>
    <w:rsid w:val="00BC2071"/>
    <w:rsid w:val="00C82DF4"/>
    <w:rsid w:val="00D43DA2"/>
    <w:rsid w:val="00D97FCB"/>
    <w:rsid w:val="00DC4050"/>
    <w:rsid w:val="00E468E1"/>
    <w:rsid w:val="00E72756"/>
    <w:rsid w:val="00F24DC0"/>
    <w:rsid w:val="00F7636D"/>
    <w:rsid w:val="00FB2D4D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345F"/>
  <w15:chartTrackingRefBased/>
  <w15:docId w15:val="{1A6552C2-1F38-4ECF-9A88-2853C871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CE"/>
  </w:style>
  <w:style w:type="paragraph" w:styleId="Heading1">
    <w:name w:val="heading 1"/>
    <w:basedOn w:val="Normal"/>
    <w:link w:val="Heading1Char"/>
    <w:uiPriority w:val="9"/>
    <w:qFormat/>
    <w:rsid w:val="008C4DF3"/>
    <w:pPr>
      <w:widowControl w:val="0"/>
      <w:autoSpaceDE w:val="0"/>
      <w:autoSpaceDN w:val="0"/>
      <w:spacing w:before="120" w:after="0" w:line="240" w:lineRule="auto"/>
      <w:ind w:left="108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05CE"/>
    <w:pPr>
      <w:ind w:left="720"/>
      <w:contextualSpacing/>
    </w:pPr>
  </w:style>
  <w:style w:type="table" w:styleId="TableGrid">
    <w:name w:val="Table Grid"/>
    <w:basedOn w:val="TableNormal"/>
    <w:uiPriority w:val="39"/>
    <w:rsid w:val="00FB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4DF3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8C4D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4DF3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mmf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98513A6C7154BBEAA3B849DCE0F1D" ma:contentTypeVersion="9" ma:contentTypeDescription="Create a new document." ma:contentTypeScope="" ma:versionID="542dace7ef1bf77dc3fc51613c71174c">
  <xsd:schema xmlns:xsd="http://www.w3.org/2001/XMLSchema" xmlns:xs="http://www.w3.org/2001/XMLSchema" xmlns:p="http://schemas.microsoft.com/office/2006/metadata/properties" xmlns:ns2="305c5873-8f29-4047-95e3-59b9edfb9e5f" xmlns:ns3="3a3372f0-c1f0-4f1d-bf23-e3b35840e156" targetNamespace="http://schemas.microsoft.com/office/2006/metadata/properties" ma:root="true" ma:fieldsID="82463d280182ca4058d9087a636afe21" ns2:_="" ns3:_="">
    <xsd:import namespace="305c5873-8f29-4047-95e3-59b9edfb9e5f"/>
    <xsd:import namespace="3a3372f0-c1f0-4f1d-bf23-e3b35840e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5873-8f29-4047-95e3-59b9edfb9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72f0-c1f0-4f1d-bf23-e3b35840e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18562-AFC5-4588-8E6E-C2FB38C16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58A39-0E75-41C6-A89A-86B70C57F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A912B-67F4-44F4-822F-622EABF8C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5873-8f29-4047-95e3-59b9edfb9e5f"/>
    <ds:schemaRef ds:uri="3a3372f0-c1f0-4f1d-bf23-e3b35840e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Curran</dc:creator>
  <cp:keywords/>
  <dc:description/>
  <cp:lastModifiedBy>Martin Curran</cp:lastModifiedBy>
  <cp:revision>6</cp:revision>
  <cp:lastPrinted>2019-03-22T16:18:00Z</cp:lastPrinted>
  <dcterms:created xsi:type="dcterms:W3CDTF">2019-03-22T15:36:00Z</dcterms:created>
  <dcterms:modified xsi:type="dcterms:W3CDTF">2019-03-22T17:13:00Z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0x01010082F98513A6C7154BBEAA3B849DCE0F1D</vt:lpwstr>
  </property>
</Properties>
</file>